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5C" w:rsidRDefault="00A2475C" w:rsidP="00A2475C">
      <w:pPr>
        <w:snapToGrid w:val="0"/>
        <w:spacing w:line="34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</w:rPr>
        <w:t>组织架构</w:t>
      </w:r>
      <w:r>
        <w:rPr>
          <w:rFonts w:ascii="仿宋_GB2312" w:eastAsia="仿宋_GB2312" w:hAnsi="仿宋_GB2312" w:cs="仿宋_GB2312" w:hint="eastAsia"/>
          <w:kern w:val="0"/>
          <w:sz w:val="24"/>
        </w:rPr>
        <w:t>：研究</w:t>
      </w:r>
      <w:r>
        <w:rPr>
          <w:rFonts w:ascii="仿宋_GB2312" w:eastAsia="仿宋_GB2312" w:hAnsi="仿宋_GB2312" w:cs="仿宋_GB2312"/>
          <w:kern w:val="0"/>
          <w:sz w:val="24"/>
        </w:rPr>
        <w:t>中心</w:t>
      </w:r>
      <w:r>
        <w:rPr>
          <w:rFonts w:ascii="仿宋_GB2312" w:eastAsia="仿宋_GB2312" w:hAnsi="仿宋_GB2312" w:cs="仿宋_GB2312" w:hint="eastAsia"/>
          <w:kern w:val="0"/>
          <w:sz w:val="24"/>
        </w:rPr>
        <w:t>依托学校教务处设置，联合马克思主义学院开展工作。学校成立由组织部、宣传部、教务处、研究生院等多部门负责人组成的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课程思政领导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小组并设立专家委员会和教学指导委员会。中心下设办公室、课程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思政理论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研究部、实践部、培训部。中</w:t>
      </w:r>
      <w:r>
        <w:rPr>
          <w:rFonts w:ascii="仿宋_GB2312" w:eastAsia="仿宋_GB2312" w:hAnsi="仿宋_GB2312" w:cs="仿宋_GB2312"/>
          <w:kern w:val="0"/>
          <w:sz w:val="24"/>
        </w:rPr>
        <w:t>心</w:t>
      </w:r>
      <w:r>
        <w:rPr>
          <w:rFonts w:ascii="仿宋_GB2312" w:eastAsia="仿宋_GB2312" w:hAnsi="仿宋_GB2312" w:cs="仿宋_GB2312" w:hint="eastAsia"/>
          <w:kern w:val="0"/>
          <w:sz w:val="24"/>
        </w:rPr>
        <w:t>同</w:t>
      </w:r>
      <w:r>
        <w:rPr>
          <w:rFonts w:ascii="仿宋_GB2312" w:eastAsia="仿宋_GB2312" w:hAnsi="仿宋_GB2312" w:cs="仿宋_GB2312"/>
          <w:kern w:val="0"/>
          <w:sz w:val="24"/>
        </w:rPr>
        <w:t>时</w:t>
      </w:r>
      <w:r>
        <w:rPr>
          <w:rFonts w:ascii="仿宋_GB2312" w:eastAsia="仿宋_GB2312" w:hAnsi="仿宋_GB2312" w:cs="仿宋_GB2312" w:hint="eastAsia"/>
          <w:kern w:val="0"/>
          <w:sz w:val="24"/>
        </w:rPr>
        <w:t>作</w:t>
      </w:r>
      <w:r>
        <w:rPr>
          <w:rFonts w:ascii="仿宋_GB2312" w:eastAsia="仿宋_GB2312" w:hAnsi="仿宋_GB2312" w:cs="仿宋_GB2312"/>
          <w:kern w:val="0"/>
          <w:sz w:val="24"/>
        </w:rPr>
        <w:t>为浙江</w:t>
      </w:r>
      <w:r>
        <w:rPr>
          <w:rFonts w:ascii="仿宋_GB2312" w:eastAsia="仿宋_GB2312" w:hAnsi="仿宋_GB2312" w:cs="仿宋_GB2312" w:hint="eastAsia"/>
          <w:kern w:val="0"/>
          <w:sz w:val="24"/>
        </w:rPr>
        <w:t>省高</w:t>
      </w:r>
      <w:r>
        <w:rPr>
          <w:rFonts w:ascii="仿宋_GB2312" w:eastAsia="仿宋_GB2312" w:hAnsi="仿宋_GB2312" w:cs="仿宋_GB2312"/>
          <w:kern w:val="0"/>
          <w:sz w:val="24"/>
        </w:rPr>
        <w:t>校课程</w:t>
      </w:r>
      <w:proofErr w:type="gramStart"/>
      <w:r>
        <w:rPr>
          <w:rFonts w:ascii="仿宋_GB2312" w:eastAsia="仿宋_GB2312" w:hAnsi="仿宋_GB2312" w:cs="仿宋_GB2312"/>
          <w:kern w:val="0"/>
          <w:sz w:val="24"/>
        </w:rPr>
        <w:t>思政</w:t>
      </w:r>
      <w:r>
        <w:rPr>
          <w:rFonts w:ascii="仿宋_GB2312" w:eastAsia="仿宋_GB2312" w:hAnsi="仿宋_GB2312" w:cs="仿宋_GB2312" w:hint="eastAsia"/>
          <w:kern w:val="0"/>
          <w:sz w:val="24"/>
        </w:rPr>
        <w:t>教</w:t>
      </w:r>
      <w:r>
        <w:rPr>
          <w:rFonts w:ascii="仿宋_GB2312" w:eastAsia="仿宋_GB2312" w:hAnsi="仿宋_GB2312" w:cs="仿宋_GB2312"/>
          <w:kern w:val="0"/>
          <w:sz w:val="24"/>
        </w:rPr>
        <w:t>学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改革</w:t>
      </w:r>
      <w:r>
        <w:rPr>
          <w:rFonts w:ascii="仿宋_GB2312" w:eastAsia="仿宋_GB2312" w:hAnsi="仿宋_GB2312" w:cs="仿宋_GB2312"/>
          <w:kern w:val="0"/>
          <w:sz w:val="24"/>
        </w:rPr>
        <w:t>联盟秘</w:t>
      </w:r>
      <w:r>
        <w:rPr>
          <w:rFonts w:ascii="仿宋_GB2312" w:eastAsia="仿宋_GB2312" w:hAnsi="仿宋_GB2312" w:cs="仿宋_GB2312" w:hint="eastAsia"/>
          <w:kern w:val="0"/>
          <w:sz w:val="24"/>
        </w:rPr>
        <w:t>书</w:t>
      </w:r>
      <w:r>
        <w:rPr>
          <w:rFonts w:ascii="仿宋_GB2312" w:eastAsia="仿宋_GB2312" w:hAnsi="仿宋_GB2312" w:cs="仿宋_GB2312"/>
          <w:kern w:val="0"/>
          <w:sz w:val="24"/>
        </w:rPr>
        <w:t>处的常</w:t>
      </w:r>
      <w:r>
        <w:rPr>
          <w:rFonts w:ascii="仿宋_GB2312" w:eastAsia="仿宋_GB2312" w:hAnsi="仿宋_GB2312" w:cs="仿宋_GB2312" w:hint="eastAsia"/>
          <w:kern w:val="0"/>
          <w:sz w:val="24"/>
        </w:rPr>
        <w:t>设机构，承担联盟相关工作。</w:t>
      </w:r>
    </w:p>
    <w:p w:rsidR="00A2475C" w:rsidRDefault="00A2475C" w:rsidP="00A2475C">
      <w:pPr>
        <w:snapToGrid w:val="0"/>
        <w:spacing w:line="34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</w:rPr>
        <w:t>运行机制：</w:t>
      </w:r>
      <w:r>
        <w:rPr>
          <w:rFonts w:ascii="仿宋_GB2312" w:eastAsia="仿宋_GB2312" w:hAnsi="仿宋_GB2312" w:cs="仿宋_GB2312" w:hint="eastAsia"/>
          <w:kern w:val="0"/>
          <w:sz w:val="24"/>
        </w:rPr>
        <w:t>中心</w:t>
      </w:r>
      <w:r>
        <w:rPr>
          <w:rFonts w:ascii="仿宋_GB2312" w:eastAsia="仿宋_GB2312" w:hAnsi="仿宋_GB2312" w:cs="仿宋_GB2312"/>
          <w:kern w:val="0"/>
          <w:sz w:val="24"/>
        </w:rPr>
        <w:t>实行</w:t>
      </w:r>
      <w:r>
        <w:rPr>
          <w:rFonts w:ascii="仿宋_GB2312" w:eastAsia="仿宋_GB2312" w:hAnsi="仿宋_GB2312" w:cs="仿宋_GB2312" w:hint="eastAsia"/>
          <w:kern w:val="0"/>
          <w:sz w:val="24"/>
        </w:rPr>
        <w:t>学</w:t>
      </w:r>
      <w:r>
        <w:rPr>
          <w:rFonts w:ascii="仿宋_GB2312" w:eastAsia="仿宋_GB2312" w:hAnsi="仿宋_GB2312" w:cs="仿宋_GB2312"/>
          <w:kern w:val="0"/>
          <w:sz w:val="24"/>
        </w:rPr>
        <w:t>校党委</w:t>
      </w:r>
      <w:r>
        <w:rPr>
          <w:rFonts w:ascii="仿宋_GB2312" w:eastAsia="仿宋_GB2312" w:hAnsi="仿宋_GB2312" w:cs="仿宋_GB2312" w:hint="eastAsia"/>
          <w:kern w:val="0"/>
          <w:sz w:val="24"/>
        </w:rPr>
        <w:t>领导、专</w:t>
      </w:r>
      <w:r>
        <w:rPr>
          <w:rFonts w:ascii="仿宋_GB2312" w:eastAsia="仿宋_GB2312" w:hAnsi="仿宋_GB2312" w:cs="仿宋_GB2312"/>
          <w:kern w:val="0"/>
          <w:sz w:val="24"/>
        </w:rPr>
        <w:t>家</w:t>
      </w:r>
      <w:r>
        <w:rPr>
          <w:rFonts w:ascii="仿宋_GB2312" w:eastAsia="仿宋_GB2312" w:hAnsi="仿宋_GB2312" w:cs="仿宋_GB2312" w:hint="eastAsia"/>
          <w:kern w:val="0"/>
          <w:sz w:val="24"/>
        </w:rPr>
        <w:t>委员</w:t>
      </w:r>
      <w:r>
        <w:rPr>
          <w:rFonts w:ascii="仿宋_GB2312" w:eastAsia="仿宋_GB2312" w:hAnsi="仿宋_GB2312" w:cs="仿宋_GB2312"/>
          <w:kern w:val="0"/>
          <w:sz w:val="24"/>
        </w:rPr>
        <w:t>会</w:t>
      </w:r>
      <w:r>
        <w:rPr>
          <w:rFonts w:ascii="仿宋_GB2312" w:eastAsia="仿宋_GB2312" w:hAnsi="仿宋_GB2312" w:cs="仿宋_GB2312" w:hint="eastAsia"/>
          <w:kern w:val="0"/>
          <w:sz w:val="24"/>
        </w:rPr>
        <w:t>和教学指导委员会</w:t>
      </w:r>
      <w:r>
        <w:rPr>
          <w:rFonts w:ascii="仿宋_GB2312" w:eastAsia="仿宋_GB2312" w:hAnsi="仿宋_GB2312" w:cs="仿宋_GB2312"/>
          <w:kern w:val="0"/>
          <w:sz w:val="24"/>
        </w:rPr>
        <w:t>指导下的主任负责制。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课程思政领导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小组负责审议中心规划、方案等；专家委员会和教学指导委员会负责中心业务指导；培训部负责教师交流、观摩和培训，理论研究部负责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课程思政理论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、建设研究与应用，实践部负责实践教学的推进和评估，中心办公室负责日常运行。中心主要成员包括教学管理专家、马克思主义学院教师、专业学院教学骨干等。各二级学院设置课程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思政教学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研究分中心，形成校院两级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课程思政研究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和实践指导机制。</w:t>
      </w:r>
    </w:p>
    <w:p w:rsidR="00A2475C" w:rsidRDefault="00A2475C" w:rsidP="00A2475C">
      <w:pPr>
        <w:snapToGrid w:val="0"/>
        <w:spacing w:line="340" w:lineRule="exact"/>
        <w:ind w:firstLineChars="200" w:firstLine="420"/>
        <w:rPr>
          <w:rFonts w:ascii="仿宋_GB2312" w:eastAsia="仿宋_GB2312" w:hAnsi="仿宋_GB2312" w:cs="仿宋_GB2312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59690</wp:posOffset>
            </wp:positionV>
            <wp:extent cx="4422775" cy="31635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75C" w:rsidRDefault="00A2475C" w:rsidP="00A2475C">
      <w:pPr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rPr>
          <w:rFonts w:ascii="仿宋_GB2312" w:eastAsia="仿宋_GB2312" w:hAnsi="仿宋_GB2312" w:cs="仿宋_GB2312"/>
          <w:kern w:val="0"/>
          <w:sz w:val="24"/>
        </w:rPr>
      </w:pPr>
    </w:p>
    <w:p w:rsidR="00A2475C" w:rsidRDefault="00A2475C" w:rsidP="00A2475C">
      <w:pPr>
        <w:snapToGrid w:val="0"/>
        <w:spacing w:line="340" w:lineRule="exact"/>
        <w:ind w:firstLineChars="200" w:firstLine="480"/>
        <w:jc w:val="center"/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图1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>课程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思政教学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研究中心组织架构</w:t>
      </w:r>
    </w:p>
    <w:p w:rsidR="00791AA0" w:rsidRPr="00A2475C" w:rsidRDefault="00791AA0">
      <w:bookmarkStart w:id="0" w:name="_GoBack"/>
      <w:bookmarkEnd w:id="0"/>
    </w:p>
    <w:sectPr w:rsidR="00791AA0" w:rsidRPr="00A24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7A"/>
    <w:rsid w:val="001B247A"/>
    <w:rsid w:val="00791AA0"/>
    <w:rsid w:val="00A2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3A9F0-B0D7-46A8-8860-D914E3DA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ZJUT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</dc:creator>
  <cp:keywords/>
  <dc:description/>
  <cp:lastModifiedBy>WEC</cp:lastModifiedBy>
  <cp:revision>2</cp:revision>
  <dcterms:created xsi:type="dcterms:W3CDTF">2021-04-27T14:55:00Z</dcterms:created>
  <dcterms:modified xsi:type="dcterms:W3CDTF">2021-04-27T14:55:00Z</dcterms:modified>
</cp:coreProperties>
</file>